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144903-П/2013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Титаренко Игоря Сергеевича на нарушение его конституционных прав положением части 1 статьи 3.5 и частью 5 статьи 20.2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И.С.Титаренко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Согласно статье 31 Конституции Российской Федерации граждане Российской Федерации имеют право собираться мирно, без оружия, проводить собрания, митинги и демонстрации, шествия и пикетирования. Из этого положения во взаимосвязи со статьями 15 (часть 2), 55 (часть 3), 71 (пункты «в», «м»), 72 (пункты «б», «к» части 1) и 76 (части 1 и 2) Конституции Российской Федерации следует, что порядок реализации гражданами и их объединениями права на свободу собраний, митингов и демонстраций, шествий и пикетирований и ответственность за его нарушение устанавливаются федеральным законодателем. При этом, как неоднократно указывал Вопрос о соразмерности административных наказаний, установленных Кодексом Российской Федерации об административных 5 правонарушениях за нарушения порядка организации и проведения публичных мероприятий, ранее уже был предметом рассмотрения Конституционного Суда Российской Федерации в Постановлении от 14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Титаренко Игоря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