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Асауляка Дениса Александровича на нарушение его конституционных прав статьей 2 Федерального закона «О внесении изменения в статью 19 Федерального закона «О безопасности дорожного движения» и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Д.А.Асауляка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1). Законодатель, определив в Федеральном законе «О безопасности дорожного движения» в качестве основных принципов обеспечения безопасности дорожного движения приоритет ответственности государства за обеспечение безопасности дорожного движения над ответственностью граждан, участвующих в дорожном движении, и соблюдение интересов граждан, общества и государства при обеспечении безопасности дорожного движения, запретил эксплуатацию транспортных средств лицами, находящимися в состоянии алкогольного, наркотического или иного токсического опьянения (часть 21 статьи 19). Поэтому оспариваемые положения Федерального закона, отменяющие нормы, регламентирующие допустимый уровень содержания алкоголя в организме лица, управляющего 4 транспортным средством, – с целью снижения количества дорожно- транспортных происшествий с участием водителей, находящихся в состоянии опьянения, – не могут рассматриваться как нарушающие конституционные права граждан. При этом такому законодательному решению, обусловленному конституционно значимыми целями, не препятствуют положения Европейского соглашения, дополняющего Конвенцию о дорожном движении, открытую для подписания в Вене 8 ноября 1968 года (Женева, 1 мая 1971 года), на которые ссылается заявитель, поскольку они направлены на повышение безопасности международного дорожного движения (преамбула Конвенции о дорожном движении). В соответствии с частью 11 статьи 27.12 КоАП Российской Федерации освидетельствованию на состояние алкогольного опьянения подлежит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опьянения. Согласно Правилам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(утверждены постановлением Правительства Российской Федерации от 26 июня 2008 года № 475)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 (пункт 3); 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 (пункт 5); при этом наличие или отсутствие состояния алкогольного опьянения определяется на основании 5 показаний используемого технического средства измерения с учетом допустимой погрешности технического средства измерения (пункт 8). Согласно Кодексу Российской Федерации об административных правонарушениях в случае несогласия лица, которое управляет транспортным средством, с результатами освидетельствования оно подлежит направлению на медицинское освидетельствование на состояние опьянения (часть 11 статьи 27.12). При этом для защиты прав лиц, в отношении которых осуществляются указанные меры обеспечения производства по делу об административном правонарушении, предусматривается, что копии акта освидетельствования на состояние алкогольного опьянения и (или) акта медицинского освидетельствования на состояние опьянения вручаются лицу, в отношении которого они были составлены (часть 7 статьи 27.12). Что же касается оценки показаний технических средств, с помощью которых выявляются лица, управляющие транспортными средствами в состоянии опьянения, то она осуществляется судьей, рассматривающим дело об административном правонарушении по правилам, предусмотренным Кодексом Российской Федерации об административных правонарушениях, в том числе исходя из того, что неустранимые сомнения в виновности лица, привлекаемого к административной ответственности, толкуются в пользу этого лица (часть 4 статьи 1.5). Проверка же законности и обоснованности судебных постановлений, как связанная с исследованием фактических обстоятельств дела,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Таким образом, оспариваемые нормы не могут рассматриваться как нарушающие конституционные права заявителя в указанном им аспекте. Исходя из изложенного и руководствуясь частью второй статьи 40, пунктом 2 части первой статьи 43, частью первой статьи 79, статьями 96 и 97 6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Асауляка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