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88968-П/2012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Кривцова Евгения Валерьевича на нарушение его конституционных прав положениями статьи 386, 387 и частью первой1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Е.В.Кривцова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Волгоградского областного суда от 10 ноября 2010 года отменены судебные постановления судов первой и кассационной инстанций в части отказа в удовлетворении иска Территориального управления Федерального агентства по управлению государственным имуществом в Волгоградской области к гражданину Е.В.Кривцову и другим лицам о признании права государственной собственности Российской Федерации и истребовании имущества из чужого незаконного владения и вынесено новое решение о признании права 2 государственной собственности Российской Федерации на объекты недвижимого имущества.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Статьями 381–383 ГПК Российской Федерации предусматривается предварительное рассмотрение судьями надзорных жалоб (представлений). 3 На этом обязательном этапе надзорного производства, представляющем собой процедуру допуска (фильтрации) надзорных жалоб (представлений), определяются правовые основания для дальнейшего движения дела (передачи надзорной жалобы или представления с делом для рассмотрения в судебном заседании суда надзорной инстанции) исходя из доводов, изложенных в жалобе (представлении), и содержания обжалуемых судебных постановлений (материалов истребованного дела). Поскольку на данном этапе производства в суде надзорной инстанции решается лишь вопрос о возможности передачи надзорной жалобы, представления прокурора для рассмотрения в судебном заседании суда надзорной инстанции, участие судьи, который изучал надзорную жалобу, представление прокурора на основании предписаний статьи 3801 ГПК Российской Федерации, в заседании суда надзорной инстанции, рассматривающего данную надзорную жалобу, представление прокурора, не может быть признано нарушающим принципы независимости и беспристрастности судей при осуществлении правосудия. Кроме того, соблюдение данных принципов в суде надзорной инстанции обеспечивается наличием у лица, участвующего в деле, права заявить судье отвод в судебном заседании суда надзорной инстанции на основании пункта 3 части первой статьи 16 ГПК Российской Федерации, если имеются основания полагать, что он лично, прямо или косвенно, заинтересован в исходе гражданского дела. Такое право предусмотрено процессуальным законом (статья 19 ГПК Российской Федерации). Таким образом, конституционные права заявителя положениями статьи 386 ГПК Российской Федерации нарушены не были.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Кривцова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