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173985-П/2014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сентября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«Международный Таможенный Брокер» на нарушение конституционных прав и свобод положением части 2 статьи 16.2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Г.А.Жилина,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«Международный Таможенный Брокер»,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Кодексу Российской Федерации об административных правонарушениях административный штраф, равно как и любое административное наказание, является установленной государственной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самими правонарушителями, так и другими лицами (часть 1 статьи 3.1); он назначается в пределах, установленных законом, предусматривающим ответственность за соответствующее административное правонарушение (часть 1 статьи 4.1); при назначении административного наказания юридическому лицу учитывается характер совершенного им административного правонарушения, его имущественное и финансовое положение, обстоятельства, смягчающие или отягчающие ответственность (часть 3 статьи 4.1). Административный штраф является денежным взысканием и может выражаться в том числе в величине, кратной сумме неуплаченных и подлежащих уплате на момент окончания или пресечения административного правонарушения налогов или таможенных пошлин, при этом его размер не может превышать трехкратный размер соответствующей суммы (пункт 2 части 1 и часть 3 статьи 3.5 КоАП Российской Федерации). Вопрос о соразмерности минимального размера административного штрафа, предусмотренного санкциями ряда статей Кодекса Российской Федерации об административных правонарушениях и назначаемого юридическим лицам за совершение конкретных правонарушений, ранее был предметом рассмотрения Конституционного Суда Российской Федерации. 4 В Постановлении от 25 февраля 2014 года По смыслу статей 96 и 97 Федерального конституционного закона «О Конституционном Суде Российской Федерации», гражданин и объединения граждан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«Международный Таможенный Брокер»,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