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Кузьмича Константина Николаевича на нарушение его конституционных прав пунктами 2 и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К.Н.Кузьмича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24 декабря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также не находит оснований для принятия к рассмотрению жалобы в указанной части. Оспаривая конституционность положений пунктов 2 и 3 части первой статьи 43 Федерального конституционного закона «О Конституционном Суде Российской Федерации», заявитель связывает нарушение своих конституционных прав с принятыми по его жалобам определениями Конституционного Суда Российской Федерации, с которыми он фактически выражает несогласие. Между тем согласно части первой статьи 79 Федерального конституционного закона «О Конституционном Суде Российской Федерации» решения Конституционного Суда Российской Федерации окончательны и обжалованию не подлежат.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Кузьмича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