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197521-П/2003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Светашова Александра Сергеевича на нарушение его конституционных прав пунктом 21 изменений, вносимых в Положение о военно-врачебной экспертизе, утвержденное постановлением Правительства Российской Федерации от 25 февраля 2003 года № 123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А.С.Светашова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провозглашая в соответствии с целями социального государства право каждого на благоприятную окружающую среду и на возмещение ущерба, причиненного экологическим правонарушением (статья 42), относит установление механизма возмещения вреда, обусловленного радиационным воздействием, к компетенции законодателя, который вправе вносить изменения в способы возмещения вреда, а также уточнять критерии его 4 дифференциации или адресности (постановления Конституционного Суда Российской Федерации от 1 декабря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Светашова Александра Сергеевича,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