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166955-П/2014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Вешняковой Елены Валерьевны на нарушение ее конституционных прав статьей 3791 и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гражданки Е.В.Вешняковой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законами. Предусмотренное статьей 3791 ГПК Российской Федерации возвращение жалобы на вступившие в законную силу судебные постановления без рассмотрения по существу не препятствует заинтересованному лицу подать повторную кассационную жалобу в суд после устранения выявленных недостатков (применительно к конкретному делу с участием заявительницы – после подачи кассационной жалобы на вступившее в законную силу судебное постановление в порядке, установленном главой 41 ГПК Российской Федерации). Следовательно, нет оснований полагать, что данной нормой были нарушены конституционные права Е.В.Вешняковой в указанном в жалобе аспекте. Согласно пункту 1 части третьей статьи 392 ГПК Российской Федерации судебные постановления, вступившие в законную силу, могут быть пересмотрены по вновь открывшимся обстоятельствам, которыми являются относящиеся к делу фактические обстоятельства, объективно 4 имевшие место на время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данного постановления (пункт 9 постановления Пленума Верховного Суда Российской Федерации от 11 декабря 2012 года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Вешняковой Елены Валерьевны,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