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Мурашова Владимира Алексеевича на нарушение его конституционных прав статьей 6 Федерального закона «Об увековечении победы советского народа в Великой Отечественной войне 1941–1945 годов», статьей 1 Федерального закона «О противодействии экстремистской деятельности» и статьей 20.3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В.А.Мурашова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В.А.Мурашовым материалы, не находит оснований для принятия его жалобы к рассмотрению. Федеральный закон «Об увековечении победы советского народа в Великой Отечественной войне 1941–1945 годов», принятый в том числе исходя из необходимости недопущения проявлений фашизма в любой форме, предусмотрел, что важнейшим направлением государственной политики Российской Федерации по увековечению Победы советского народа в Великой Отечественной войне является решительная борьба с проявлениями фашизма; Российская Федерация берет на себя обязательство принимать все необходимые меры по предотвращению создания и деятельности фашистских организаций и движений на своей территории; 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 (статья 6). Федеральный закон «О противодействии экстремистской деятельности», определяя понятие экстремистской деятельности (экстремизма), относит к нему пропаганду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 (абзац десятый пункта 1 статьи 1). Запрет на использование указанной символики, равно как и административная ответственность за его нарушение (статья 20.3 КоАП Российской Федерации), представляет собой меру, направленную на противодействие нацизму, экстремизму, фашизму и другим действиям, оскорбляющим память о жертвах, понесенных в Великой Отечественной войне, и ассоциирующимся с идеологией, запрещенной в силу статьи 13 (часть 5) Конституции Российской Федерации. Само по себе использование нацистской атрибутики (символики), равно как и атрибутики (символики), сходной с нацистской атрибутикой (символикой) до степени смешения, – безотносительно к ее генезису – может 4 причинить страдания людям, чьи родственники погибли во время Великой Отечественной войны, что также предполагает право законодателя принимать меры в соответствии со статьей 55 (часть 3) Конституции Российской Федерации. Таким образом, оспариваемые законоположения, направленные на обеспечение межнационального мира и согласия, гармонизацию межнациональных (межэтнических) отношений, защиту прав и свобод других лиц, не порождают неопределенности в вопросе об их соответствии Конституции Российской Федерации и, следовательно, не могут рассматриваться как нарушающие конституционные права заявителя. Разрешение же вопроса о том, являлась ли использованная заявителем символика нацистской или сходной с нацистской символикой до степени смешения,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Кроме того, в соответствии с пунктом 2 части второй статьи 37 Федерального конституционного закона «О Конституционном Суде Российской Федерации» в жалобе гражданина должны быть указаны его фамилия, имя и отчество. Между тем это требование заявителем выполнено ненадлежащим образом, поскольку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Мурашова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