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172652-П/2014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Пальшина Андрея Алексеевича на нарушение его конституционных прав частью 1 статьи 12.26 и положениями статьи 29.2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 гражданина А.А.Пальшина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Закрепляя составы административных правонарушений и меры ответственности за их совершение, законодатель обязан соблюдать гарантированное статьей 19 (часть 1) Конституции Российской Федерации равенство всех перед законом и вытекающее из него требование определенности правовых норм, означающее, что любое административное правонарушение, а равно санкции за его совершение должны быть четко определены в законе, причем таким образом, чтобы исходя из текста соответствующей нормы – в случае необходимости с помощью толкования, данного ей судами, – каждый мог предвидеть административно-правовые последствия своих действий (бездействия) (Определение Конституционного Суда Российской Федерации от 7 декабря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Пальшина Андрея Алексеевича,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