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«Мурманский морской рыбный порт» на нарушение конституционных прав и свобод подпунктом 23 пункта 2 статьи 149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ОАО «Мурманский морской рыбный порт»,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57 Конституции Российской Федерации каждый обязан платить законно установленные налоги и сборы. В силу данной статьи во взаимосвязи со статьями 1 (часть 1) и 55 (часть 3) Конституции Российской Федерации, как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приведенных позиций Конституционного Суда Российской Федерации и Высшего Арбитражного Суда Российской Федерации при разрешении вопроса о правомерности освобождения от обложения налогом на добавленную стоимость на основании подпункта 23 пункта 2 статьи 149 Налогового кодекса Российской Федерации для правоприменительных органов приоритетное значение имеют следующие обстоятельства: возможность квалифицировать соответствующую операцию как объект налогообложения, как он определен в статье 146 Налогового кодекса Российской Федерации, целевая направленность данной операции именно на обслуживание морских судов и судов внутреннего плавания и отсутствие оснований для применения пункта 7 статьи 149 Налогового кодекса Российской Федерации, согласно которому освобождение от налогообложения не применяется при осуществлении предпринимательской деятельности в интересах другого лица на основе договоров поручения, договоров комиссии либо агентских договоров. Что касается подпункта 23 пункта 2 статьи 149 Налогового кодекса Российской Федерации, то сам по себе он не может рассматриваться как 5 нарушающий конституционные права заявителя, а потому его жалоба не отвечает требованиям допустимости по смыслу Федерального конституционного закона «О Конституционном Суде Российской Федерации» и не может быть принята Конституционным Судом Российской Федерации к рассмотрению. Оценка же конкретных правоотношений с участием ОАО «Мурманский морской рыбный порт», в том числе направленности волеизъявления сторон по гражданско-правовым договорам на совершение работ и (или) оказание услуг по обслуживанию морских судов и судов внутреннего плавания либо на совершение работ и (или) оказание услуг по перемещению и хранению нефтепродуктов и, соответственно, возможности квалификации этих договоров как договоров поручения, договоров комиссии, агентских договоров либо договоров в пользу третьего лица, на чем фактически настаивает заявитель,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«Мурманский морской рыбный порт»,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