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172581-П/2010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Грибенникова Олега Николаевича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О.Н.Грибенникова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3 его введения в действие (определения Конституционного Суда Российской Федерации от 28 мая 2009 года Как следует из представленных материалов, О.Н.Грибенников неоднократно обращался, в том числе и в 2013 году, с надзорными жалобами на вступившие в законную силу судебные решения, последняя из которых согласно приложенному к его обращению письму судьи Верховного Суда Российской Федерации являлась повторной. При таких обстоятельствах нет оснований утверждать о том, что нарушено право заявителя на судебную защиту в обозначенном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Грибенникова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