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29433-П/2009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Зарипова Арсения Рамилевича на нарушение его конституционных прав частью четвертой статьи 111 и пунктом «в» части четвертой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А.Р.Зарипова,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А.Р.Зарипов, осужденный по приговору Правобережного районного суда города Магнитогорска Челябинской области от 27 июня 2005 года за совершение ряда преступлений, в том числе предусмотренных частью четвертой статьи 111 (умышленное причинение тяжкого вреда здоровью, повлекшее по неосторожности смерть потерпевшего) и пунктом «в» части 2 четвертой статьи 162 (разбой, т.е. нападение с применением насилия в целях хищения чужого имущества, совершенный с причинением тяжкого вреда здоровью потерпевшего)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никто не может быть повторно осужден за одно и то же преступление (статья 50, часть 1), причем это право в силу своей конституционно-правовой природы не подлежит ограничению. В развитие данного конституционного запрета Уголовный кодекс Российской Федерации, определяя принцип справедливости, установил, что никто не может нести уголовную ответственность дважды за одно и то же преступление, что наказание и иные меры уголовно-правового 3 характера, применяемые к лицу, совершившему преступление, должны быть справедливыми, т.е. соответствовать характеру и степени опасности преступления, обстоятельствам его совершения и личности виновного (статья 6), а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Уголовного кодекса Российской Федерации, и с учетом положений его Общей части (статья 60). Толкование принципа «non bis in idem», как он закреплен в Конституции Российской Федерации и регулируется уголовным законодательством Российской Федерации, нашло отражение и в решениях Конституционного Суда Российской Федерации. В его Постановлении от 19 марта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Умышленное причинение тяжкого вреда здоровью, повлекшее по неосторожности смерть потерпевшего (часть четвертая статьи 111 УК Российской Федерации), и разбой, т.е. нападение с применением насилия в целях хищения чужого имущества, совершенный с причинением тяжкого вреда здоровью потерпевшего (пункт «в» части четвертой статьи 162 УК Российской Федерации), вопреки утверждению заявителя, образуют самостоятельные составы преступлений, различающиеся по объекту уголовно-правовой охраны, характеру посягательства, направленности умысла и степени опасности, а потому назначение за них наказания по совокупности не может рассматриваться как противоречие статье 50 (часть 1) Конституции Российской Федерации, гарантирующей каждому право не 4 быть повторно осужденным за одно и то же преступление, и не только не нарушает принцип справедливости, но, напротив, отвечает требованию справедливого наказания за совершенное преступление. Данные преступления имеют разные объекты (здоровье и жизнь в одном случае, собственность и здоровье – в другом), разные последствия (смерть и вред здоровью) с разным психическим отношением к этим последствиям (двойная форма вины в одном случае и умышленная форма вины – в другом). Иными словами, часть четвертая статьи 111 и пункт «в» части четвертой статьи 162 УК Российской Федерации содержат, в конечном счете, описание разных преступлений, которые хотя и имеют общий признак – причинение тяжкого вреда здоровью, не соотносятся между собой как часть и целое: наступление смерти потерпевшего не включено в признаки состава разбоя, совершенного с причинением тяжкого вреда здоровью потерпевшего. К тому же часть четвертая статьи 111 УК Российской Федерации предусматривает наказание в виде лишения свободы на срок от 5 до 15 лет, а часть четвертая статьи 162 УК Российской Федерации – на срок от 8 до 15 лет со штрафом либо без такового. Следовательно, причинение тяжкого вреда здоровью потерпевшего, повлекшего его смерть (преступление против жизни), не может поглотить разбой (преступление против собственности), как и разбой не может поглотить причинение тяжкого вреда здоровью потерпевшего, повлекшего его смерть. Пункт «в» части четвертой статьи 162 и часть четвертая статьи 111 УК Российской Федерации не соотносятся между собой как общая и специальная норма, а потому действия виновных в разбойном нападении, в ходе которого потерпевшему причиняется тяжкий вред здоровью, повлекший его смерть, подлежат квалификации по совокупности преступлений. Такой смысл данным нормам придается и правоприменительной практикой (пункт 21 постановления Пленума Верховного Суда Российской Федерации от 27 декабря 2002 года № 29 «О судебной практике по делам о краже, грабеже и 5 разбое» в редакции постановления Пленума Верховного Суда Российской Федерации от 6 февраля 2007 года № 7). Таким образом, оспариваемые заявителем нормы не могут рассматриваться как нарушающие его конституционные права и свободы. Разрешение же вопросов, связанных с уголовно-правовой квалификацией тех или иных деяний, включая оценку фактических обстоятельств, относится к компетенции судов общей юрисдикции.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Зарипова Арсения Рамилевича,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