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141003-П/2013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Дейнекина Владимира Михайловича и Славного Вячеслава Алексеевича на нарушение их конституционных прав частью седьмой статьи 11, частями первой и третьей статьи 56 и частью второй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граждан В.М.Дейнекина и В.А.Славного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заявителями материалы, не находит оснований для принятия данной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 Примененная судами часть седьмая статьи 11 Положения о службе в органах внутренних дел Российской Федерации, предусматривая возможность продления или перезаключения контракта о прохождении службы в органах внутренних дел (в уголовно-исполнительной системе) и определяя необходимый для этого срок, предоставляет сторонам контракта право на основе соглашения решить вопрос о продолжении службы в органах внутренних дел (службы в уголовно-исполнительной системе) тем или иным сотрудником. Данная норма направлена на согласование интересов сторон контракта и упорядочение служебных отношений, вследствие чего не может рассматриваться как нарушающая конституционные права заявителей. При этом окончание срока службы, предусмотренного контрактом, является обстоятельством, наступление которого не зависит от воли лиц, его заключивших, тогда как характерной особенностью оснований расторжения контракта о службе в уголовно-исполнительной системе по инициативе одной из его сторон является наличие явно выраженной ею воли и совершение действий, направленных на прекращение служебного правоотношения. То обстоятельство, что согласно части второй статьи 58 Положения о службе в органах внутренних дел Российской Федерации увольнение со службы по пункту «г» части первой указанной статьи осуществляется как по инициативе сотрудника, так и по инициативе соответствующего начальника, не влияет на оценку данного основания увольнения как не зависящего от воли сторон контракта, поскольку определяет лишь процедуру увольнения. Следовательно, частью второй статьи 58 Положения о службе в органах внутренних дел Российской Федерации в указанном в жалобе аспекте конституционные права заявителей не нарушаются. Исходя из изложенного и руководствуясь частью второй статьи 40, пунктом 2 части первой статьи 43, частью первой статьи 79, статьями 96 и 97 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Дейнекина Владимира Михайловича и Славного Вячеслава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