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120261-П/2012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Гурко Валерия Ильича и Гурко Нины Ивановны на нарушение их конституционных прав частью второй статьи 15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 В.И.Гурко и Н.И.Гурко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В.И.Гурко и Н.И.Гурко, признанные потерпевшими по уголовному делу,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В.И.Гурко и Н.И.Гурко материалы, не находит оснований для принятия их жалобы к рассмотрению. Конституция Российской Федерации, устанавливающая, что в Российской Федерации права и свободы человека и гражданина признаются и гарантируются, определяют смысл, содержание и применение законов и обеспечиваются правосудием, гарантируется государственная, в том числе судебная, защита прав и свобод человека и гражданина, каждому обеспечивается право защищать права и свободы всеми способами, не запрещенными законом, а права потерпевших от преступлений охраняются законом, обязывает государство обеспечить потерпевшим доступ к правосудию и компенсацию причиненного ущерба (статья 17, часть 1; статья 18; статья 45; статья 46, части 1 и 2; статья 52). Вместе с тем данная обязанность государства не предполагает наделение потерпевшего правом предопределять необходимость осуществления уголовного преследования в отношении того или иного лица, а также пределы возлагаемой на это лицо уголовной ответственности, – такое право в силу публичного характера уголовно-правовых отношений может принадлежать только государству. При этом в силу статьи 71 (пункт «о») Конституции Российской Федерации федеральный законодатель вправе установить основания, при наличии которых лицо подлежит освобождению от уголовного преследования, в том числе так называемые нереабилитирующие основания. 3 Уголовный кодекс Российской Федерации, регламентируя правила определения категорий преступлений исходя из их характера и степени общественной опасности (статья 15), а также предусматривая освобождение от уголовной ответственности в связи с истечением сроков давности (статья 78), не закрепляет положений, касающихся правового статуса потерпевшего от преступления. Соответствующие нормы, определяющие правовое положение потерпевшего, а также порядок реализации им своих правомочий на досудебных и судебных стадиях уголовного процесса, механизм защиты его прав в уголовном судопроизводстве, предусмотрены в Уголовно- процессуальном кодексе Российской Федерации. При этом прекращение уголовного дела и освобождение от уголовной ответственности в связи с истечением срока давности не освобождает виновного от обязательств по возмещению нанесенного ущерба и компенсации причиненного вреда и не исключает защиту потерпевшим своих прав в порядке гражданского судопроизводства (Определение Конституционного Суда Российской Федерации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Гурко Валерия Ильича и Гурко Нины Ивановны, поскольку она не отвечает 4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