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66178-П/2011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Алексея Анатольевича на нарушение его конституционных прав пунктом 1 части 2 и пунктом 2 части 3 статьи 12 Закона Московской области «Об организации транспортного обслуживания населения на территории Московской области» и частью 2 статьи 12 Закона Московской области «Об административной ответственности за правонарушения на автомобильном и наземном электрическом транспорте в Московской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А.А.Смирнова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А.А.Смирновым материалы, не находит оснований для принятия его жалобы к рассмотрению. Конституция Российской Федерации, относя обеспечение общественной безопасности и административное законодательство к предметам совместного ведения Российской Федерации и ее субъектов, тем самым предоставляет право субъектам Российской Федерации осуществлять собственное правовое регулирование по этим вопросам (статья 72, пункты «б», «к» части 1; статья 76, часть 2), в том числе в сфере обеспечения безопасности дорожного движения, которое осуществляется ими, в частности, посредством регулирования деятельности на автомобильном, городском наземном электрическом транспорте и в дорожном хозяйстве (статья 4, абзац четвертый статьи 5, пункт 3 статьи 6 Федерального закона от 10 декабря 1995 года № 196-ФЗ «О безопасности дорожного движения»).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