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169553-П/2010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Дмитрия Владимировича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Д.В.Козлова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Дмитрия Владимировича,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