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143014-П/2013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Ключерева Олега Александровича на нарушение его конституционных прав положениями Уголовно-исполнительного кодекса Российской Федерации, Уголовного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О.А.Ключерева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 О.А.Ключерев был освобожден условно-досрочно от отбывания наказания. Не согласившись с таким судебным решением, прокурор внес кассационное представление, в котором просил о его отмене и направлении ходатайства об условно-досрочном освобождении на новое рассмотрение в тот же суд иным составом суда. Суд кассационной инстанции удовлетворил данное представление, надзорные же 2 жалобы О.А.Ключерева на это судебное решение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настаивая на признании Уголовно- исполнительного кодекса Российской Федерации, части второй статьи 43 и статьи 79 УК Российской Федерации, а также пункта 5 части первой статьи 388 УПК Российской Федерации не соответствующими Конституции Российской Федерации, заявитель указывает, что в его деле судами были вынесены решения, противоречащие решениям Конституционного Суда Российской Федерации, которые в то же время в силу своих недостатков позволяют судам принимать произвольные решения и подменять собой законодателя; в его деле суд, оставив без внимания сведения, содержащиеся в ходатайстве об условно-досрочном освобождении от отбывания наказания, руководствовался лишь сведениями, изложенными в кассационном представлении. Таким образом, заявитель в своем обращении, по сути, предлагает Конституционному Суду Российской Федерации дать не относящуюся к его полномочиям оценку судебным решениям, состоявшимся в конкретном деле, а не нормам закона и оспаривает решения 4 Конституционного Суда Российской Федерации, которые обжалованию не подлежат. Конституция Российской Федерации, закрепляя в статье 22 право каждого на свободу и личную неприкосновенность, устанавливает единые гарантии этого права при заключении под стражу и содержании под стражей и лишении свободы. Аналогичный подход получил отражение в Уголовном кодексе Российской Федерации (часть третья статьи 72), который использует единый временной масштаб при исчислении срока лишения свободы независимо от того, применяется оно в качестве меры пресечения или наказания (Определение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Ключерева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