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98437-П/2012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Габбасова Марселя Римовича на нарушение его конституционных прав частями третьей и четвертой статьи 406 и частью третьей статьи 407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М.Р.Габбасова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Часть третья статьи 406 УПК Российской Федерации лишь закрепляет виды решений, принимаемых судьей по результатам изучения надзорных жалобы или представления: об отказе в удовлетворении надзорных жалобы или представления (пункт 1);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 если оно было истребовано (пункт 2). Часть же четвертая статьи 406 УПК Российской Федерации, устанавливая право председателя верховного суда республики, краевого или областного суда, суда города федерального значения, суда автономной области и суда автономного округа, Председателя Верховного Суда 3 Российской Федерации либо его заместителей не согласиться с решением судьи об отказе в удовлетворении надзорных жалобы или представления, отменить такое решение и вынести постановление, предусмотренное пунктом 2 части третьей данной статьи, закрепляет дополнительный механизм возбуждения производства в надзорной инстанции и тем самым направлена на обеспечение права граждан на судебную защиту, а не на его ограничение (Определение Конституционного Суда Российской Федерации от 26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Габбасова Марселя Римовича,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