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169555-П/2010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Кириенко Романа Викторовича на нарушение его конституционных прав частью 5 статьи 3 Федерального закона от 29 декабря 2010 года № 433-ФЗ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Р.В.Кириенко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При этом в силу общего принципа действия закона во времени его нормы распространяются на отношения, права и обязанности, возникшие после введения его в действие. Статья же 54 Конституции Российской Федерации содержит императивное правило о недопустимости придания обратной силы закону, устанавливающему или отягчающему ответственность (часть 1), и о применении нового закона, если после совершения правонарушения ответственность за него устранена или смягчена (часть 2). В иных случаях только законодатель вправе распространить действие закона на правоотношения, которые возникли до его введения в действие (определения Конституционного Суда Российской Федерации от 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Кириенко Романа Викторовича,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