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169626-П/2010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Алексея Александровича на нарушение его конституционных прав частью 5 статьи 3 Федерального закона от 29 декабря 2010 года № 433-ФЗ «О внесении изменений в Уголовно-процессуальный кодекс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К.В.Арановского,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В.Г.Ярославцева, рассмотрев вопрос о возможности принятия жалобы гражданина А.А.Смирнова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 (статья 46, часть 1), непосредственно не устанавливает какой-либо конкретный порядок реализации данного права и не предполагает возможность для гражданина по собственному усмотрению выбирать способ и процедуру судебного оспаривания, которые определяются федеральными законами. При этом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Статья же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Алексея Александровича,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