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144484-П/2013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«Феникс-ДВ» на нарушение конституционных прав и свобод частью 2 статьи 23.1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«Феникс- ДВ»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23.1 КоАП Российской Федерации определяет подведомственность дел об административных правонарушениях, которые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 При этом объем прав и обязанностей участников производства по делу об административном правонарушении не 3 зависит от того, кем рассматривается дело об административном правонарушении, и лицо, в отношении которого ведется производство по делу, во всяком случае имеет право оспорить вынесенное постановление в суде (часть 1 статьи 30.1 КоАП Российской Федерации). Кроме того, в соответствии с частью 1 статьи 25.1 КоАП Российской Федерации лицо, привлекаемое к административной ответственности, вправе заявлять ходатайства. Реализуя данное право, указанное лицо может заявить ходатайство о передаче дела на рассмотрение судье, и в силу части 1 статьи 24.4 названного Кодекса данное ходатайство подлежит обязательному рассмотрению органом или должностным лицом, в производстве которых находится дело. Это, однако, как неоднократно указывал Конституционный Суд Российской Федерации, не предполагает его обязательного удовлетворения (определения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«Феникс-ДВ»,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