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133702-П/2013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Мулюкова Рустема Масгутовича и Мулюкова Эльдара Масгутовича на нарушение их конституционных прав положениями статей 320, 327, 328, 329, 330, 334 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Р.М.Мулюкова и Э.М.Мулюкова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жалобе, направленной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Этими материалами не подтверждается применение оспариваемых Э.М.Мулюковым законоположений в конкретном деле с его участием, рассмотрение которого завершено судом. Следовательно, данная жалоба в этой части не соответствует критерию допустимости обращений, установленному статьями 96 и 97 Федерального конституционного закона «О Конституционном Суде Российской Федерации». Доводы, приведенные Р.М.Мулюковым в обоснование своей позиции о неконституционности отдельных положений Гражданского процессуального кодекса Российской Федерации, регламентирующих апелляционное производство в судах общей юрисдикции, свидетельствуют о том, что нарушение своих конституционных прав он связывает не с содержанием оспариваемых норм, которые не предполагают их произвольного применения, а с принятыми по делу определениями судов апелляционной инстанции, с которыми он фактически выражает несогласие. Между тем проверка законности и обоснованности судебных постановлений, равно как и решение вопроса о приостановлении исполнительного производства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Мулюкова Рустема Масгутовича и Мулюкова Эльдара Масгутовича,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