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154947-П/2014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Подъячевой Елены Михайловны на нарушение ее конституционных прав пунктом 2 статьи 1 Федерального закона «О порядке рассмотрения обращений граждан Российской Федерации» и пунктами 1–3 статьи 10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по требованию гражданки Е.М.Подъячевой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Е.М.Подъячевой материалы, не находит оснований для принятия ее жалобы к рассмотрению. Оспариваемые законоположения носят общий характер и лишь воспроизводят и конкретизируют положение Конституции Российской Федерации, закрепляющее право граждан на обращение в государственные органы и органы местного самоуправления (статья 33). Они направлены на защиту прав граждан, а потому не могут рассматриваться как нарушающие конституционные права заявительницы в обозначенном ею аспекте.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Подъячевой Елены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