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171880-П/2014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открытого акционерного общества «ЭНЕРГОМАШ» на нарушение конституционных прав и свобод частью 1 статьи 12.212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ОАО «ЭНЕРГОМАШ»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ОАО «ЭНЕРГОМАШ» материалы, не находит оснований для принятия его жалобы к рассмотрению. Законодательством об административных правонарушениях допускается привлечение к административной ответственности лиц только за противоправные и виновные действия (бездействие); юридическое лицо признается виновным в совершении административного правонарушения, если будет установлено, что у него имелась возможность для соблюдения правил и норм, за нарушение которых данным Кодексом или законами субъекта Российской Федерации предусмотрена административная ответственность, но данным лицом не были приняты все зависящие от него меры по их соблюдению (часть 1 статьи 1.5, части 1 и 2 статьи 2.1 КоАП Российской Федерации). Законодательством не предусмотрена возможность привлечения к административной ответственности лиц без установления их вины в совершении административного правонарушения, в том числе предусмотренного оспариваемым законоположением. При этом Конституционный Суд Российской Федерации в Определении от 2 ноября 2006 года В своем Постановлении от 25 февраля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открытого акционерного общества «ЭНЕРГОМАШ», поскольку она не отвечает 5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