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133187-П/2013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Хасана Николая Николаевича на нарушение его конституционных прав статьей 222 Гражданского кодекса Российской Федерации, пунктом 1 части второй статьи 381 и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Н.Н.Хасана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юридическому лицу, осуществлявшему эксплуатацию магистрального газопровода, было отказано в удовлетворении иска о сносе самовольно возведенного строения – принадлежащего гражданину Н.Н.Хасану жилого дома. Постановлением президиума областного суда дело направлено на новое кассационное рассмотрение, по результатам которого решение суда первой инстанции отменено, а иск 2 удовлетворен. При этом суд кассационной инстанции указал, что спорный жилой дом, возведенный в границах охранной зоны магистрального газопровода без необходимого разрешения, создает угрозу жизни и здоровью людей, препятствует надлежащей эксплуатации газопровода. Определением судьи областного суда и определением судьи Верховного Суда Российской Федерации заявителю было отказано в передаче кассационных жалоб для рассмотрения в судах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Как неоднократно указывал Предусмотренная гражданским процессуальным законодательством предварительная процедура рассмотрения судьей жалоб на вступившие в законную силу судебные постановления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(истребования дела, передачи его для рассмотрения судом по существу), исходя из доводов, изложенных в жалобе,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 совместимое с правом каждого на судебную защиту и на справедливое судебное разбирательство, притом что при рассмотрении дела по существу судом в отношении сторон и иных участвующих в нем лиц обеспечивается соблюдение основных процессуальных принципов и гарантий. Основаниями же для отмены или изменения судебных постановлений нижестоящих судов, вступивших в законную силу, могут выступать лишь такие ошибки в толковании и применении закона, 4 повлиявшие на исход дела, без исправления которых невозможны эффективное восстановление и защита нарушенных прав и свобод, а также защита охраняемых законом публичных интересов. Данные выводы содержатся в сохраняющем силу Постановлении Конституционного Суда Российской Федерации от 5 февраля 2007 года № 2- П, в котором также указывалось, что пересмотр вступивших в законную силу судебных постановлений по своему содержанию и предназначению является дополнительным способом обеспечения правосудности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 Опираясь на изложенные в указанном Постановлении правовые позиции,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Хасана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