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173903-П/2014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Кондакова Юрия Викторовича на нарушение его конституционных прав пунктами 8.2, 8.5 и 10.5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Ю.В.Кондакова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Ю.В.Кондаковым материалы, не находит оснований для принятия его жалобы к рассмотрению. Правила дорожного движения Российской Федерации, принятые в целях обеспечения безопасности дорожного движения, являются составной частью правового регулирования отношений, возникающих в сфере дорожного движения,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 транспортных происшествий, снижения тяжести их последствий (статья 1 3 Федерального закона от 10 декабря 1995 года № 196-ФЗ «О безопасности дорожного движения»). Оспариваемые заявителем нормы Правил дорожного движения Российской Федерации регулируют порядок осуществления маневрирования транспортного средства во время движения (пункты 8.2 и 8.5) и скоростной режим движения транспортных средств (пункт 10.5). Сами по себе данные положения, направленные на выполнение общих задач законодательства о безопасности дорожного движения посредством установления единого порядка дорожного движения на всей территории Российской Федерации, не могут рассматриваться как нарушающие конституционные права граждан. Что касается оценочных понятий, содержащихся в оспариваемых положениях, то,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Кондакова Юрия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