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109826-П/2012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товарищества с ограниченной ответственностью «REF-CARGO» на нарушение конституционных прав и свобод частью 3 статьи 16.1 и частью 1 статьи 16.9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ТОО «REF- CARGO»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ТОО «REF-CARGO» материалы, не находит оснований для принятия его жалобы к рассмотрению. Часть 3 статьи 16.1 и часть 1 статьи 16.9 КоАП Российской Федерации направлены на обеспечение порядка перемещения товаров через таможенную границу, исключающего возможность сообщения таможенному органу недостоверных сведений о количестве грузовых мест, об их маркировке, о наименовании, весе брутто и (или) об объеме товаров, а также не допускающего недоставку товаров, перевозимых в соответствии с таможенным транзитом, в место доставки либо выдачу (передачу) без разрешения таможенного органа или утрату товаров, находящихся под таможенным контролем. Они предназначены для защиты самостоятельного объекта охраняемых государством общественных отношений в области таможенного дела, связанных с осуществлением таможенного контроля. Сами по себе оспариваемые законоположения, устанавливающие административную ответственность за совершение противоправных общественно опасных деяний в сфере таможенных отношений, не могут рассматриваться как нарушающие конституционные права граждан. Оспаривая конституционность части 3 статьи 16.1 и части 1 статьи 16.9 КоАП Российской Федерации, заявитель утверждает, что данные законоположения не должны были применяться в его делах, поскольку совершенные им деяния не признавались правонарушениями; помещение товаров под таможенную процедуру таможенного транзита произведено таможенным органом с нарушением таможенного законодательства; водитель транспортного средства самостоятельно вступил в отношения, связанные с перевозкой товаров через таможенную границу. Тем самым ТОО 4 «REF-CARGO» фактически настаивает на проверке законности и обоснованности действий и решений государственных органов и их должностных лиц, что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Кроме того, заявителем не представлены документы (копия решения суда, содержащая отметку о его вступлении в законную силу, или копия судебного постановления, вступающего в законную силу со дня его принятия), свидетельствующие о применении в его деле части 1 статьи 16.9 КоАП Российской Федерации, как того требует статья 97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товарищества с ограниченной ответственностью «REF-CARGO»,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