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157602-П/2014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Белоусова Алексея Владимировича на нарушение его конституционных прав пунктом 2 части первой статьи 134 Гражданского процессуального кодекса Российской Федерации и пунктом 1 статьи 52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А.В.Белоусова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в Российской Федерации материнство и детство, семья находятся под защитой государства 3 (статья 38, часть 1). Осуществляя в порядке конкретизации названного конституционного положения свои дискреционные полномочия, федеральный законодатель закрепил в Семейном кодексе Российской Федерации в числе принципов регулирования семейных отношений обеспечение приоритетной защиты прав и интересов несовершеннолетних. Пункт 1 статьи 52 Семейного кодекса Российской Федерации, определяющий круг лиц, наделенных правом оспаривать запись о родителях в книге записей рождений, направлен на реализацию данного принципа регулирования семейных отношений и, таким образом, сам по себе не может рассматриваться как нарушающий конституционные права заявителя, перечисленные в жалобе.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Белоусова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