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121872-П/2013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Матюнина Виталия Анатольевича на нарушение его конституционных прав положениями части 1 статьи 29.11, пункта 4 части 1 статьи 30.7 и пункта 3 части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В.А.Матюнина,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В.А.Матюнин постановлением мирового судьи судебного участка № 20 Невельского района Псковской области от 28 января 2011 года был привлечен к административной ответственности в виде лишения права управления транспортными средствами на срок 1 год 6 месяцев. Данное постановление неоднократно обжаловалось им в вышестоящие судебные 2 инстанции, но было оставлено без изменения. Постановлением судьи Верховного Суда Российской Федерации его надзорная жалоба оставлена без удовлетворения.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жалоба в Конституционный Суд Российской Федерации на нарушение конституционных прав и свобод признается допустимым средством судебной защиты лишь при условии, что эти права и свободы нарушаются оспариваемым законом, примененным в деле заявителя, – в таких случаях лишение неконституционных предписаний закона юридической силы является необходимым и адекватным средством для устранения нарушения. Как следует из жалобы, В.А.Матюнин считает, что его конституционные права были нарушены необъективностью судьи, выразившейся в принятии постановления о лишении его права управления транспортным средством в условиях, не гарантирующих отсутствие какого- либо влияния на внутреннее убеждение судьи. Между тем согласно материалам, представленным заявителем в Конституционный Суд Российской Федерации, при рассмотрения дела об административном правонарушении судом первой инстанции было проведено семь судебных заседаний, в ходе которых были удовлетворены ходатайства, заявлявшиеся В.А.Матюниным и его представителем, и наказание было назначено с учетом смягчающих обстоятельств. Заявитель неоднократно обжаловал постановление мирового судьи, в том числе в надзорном порядке, однако суды вышестоящих инстанций, не усмотрев проявлений предвзятости со стороны суда в отношении него, не нашли оснований для отмены состоявшихся ранее судебных решений. 4 Таким образом, обращение заявителя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Матюнина Виталия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