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161739-П/2014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Семеоненко Романа Николаевича на нарушение его конституционных прав частью первой статьи 63 и частью четвертой статьи 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Р.Н.Семеоненко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Р.Н.Семеоненко в ходе предварительного слушания по его уголовному делу заявил отвод судье районного суда, единолично председательствующему в судебном заседании, полагая, что судья предвзято к нему относится. Постановлением судьи от 3 декабря 2010 года отвод отклонен.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статьи 65 УПК Российской Федерации не предполагают возможности произвольного, без учета оснований, предусмотренных статьями 61 и 63 того же Кодекса, решения вопроса об отводе судьи и не освобождают суд, разрешающий этот вопрос, от обязанности обосновать свои выводы ссылками на конкретные обстоятельства дела. К тому же справедливость и беспристрастность решения судьи гарантируются всей совокупностью уголовно- 3 процессуальных средств и процедур, включающих контроль со стороны вышестоящих судебных инстанций, обязанных при выявлении того, что приговор или иное судебное решение вынесены незаконным составом суда, отменить его и направить уголовное дело на новое рассмотрение (определения Конституционного Суда Российской Федерации от 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Семеоненко Романа Николаевича,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