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100264-П/2012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Чебоксариновой Натальи Павловны на нарушение ее конституционных прав положениями статей 25.3 и 30.1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Н.П.Чебоксариновой,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жалоба гражданина на нарушение конституционных прав и свобод законом признается допустимой, если оспариваемым законом, примененным в деле заявителя, рассмотрение которого завершено в суде, затрагиваются его конституционные права, а восстановление нарушенных прав осуществимо лишь посредством конституционного судопроизводства, т.е. если заложенный в оспариваемой норме смысл не допускает такого ее истолкования и применения, при котором права и законные интересы гражданина могут быть защищены и восстановлены в обычном порядке (Определения Конституционного Суда Российской Федерации от 8 ноября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Чебоксариновой Натальи Павловны,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