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71230-П/2011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Частное охранное предприятие «Агентство Безопасности ПРОФЕССИОНАЛ-5» на нарушение конституционных прав и свобод пунктом 4 статьи 421, пунктами 1 и 3 статьи 424, пунктом 1 статьи 779, пунктом 1 статьи 781 Гражданского кодекса Российской Федерации, пунктом 2 части 1 и частью 3 статьи 305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ООО Частное охранное предприятие «Агентство Безопасности ПРОФЕССИОНАЛ-5» вопрос о возможности принятия данной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Решениями арбитражных судов отказано в иске к ООО Частное охранное предприятие «Агентство Безопасности ПРОФЕССИОНАЛ-5» о признании договора об оказании охранных услуг в редакции, представленной 2 ответчиком, недействительным и изменении указанного договора в части определения и уточнения суммы расчетов между сторонами в размере, не превышающем 30 000 рублей, а также признании данного договора недействительным в целом. Постановлением Президиума Высшего Арбитражного Суда Российской Федерации решение арбитражного суда, которым в пользу ООО Частное охранное предприятие «Агентство Безопасности ПРОФЕССИОНАЛ-5» взыскано 19 871 420 рублей 20 копеек, а также постановления вышестоящих судов отменены, дело направлено на новое рассмотрение. При новом рассмотрении дела решением арбитражного суда, оставленным без изменения вышестоящими судами, иск ООО Частное охранное предприятие «Агентство Безопасности ПРОФЕССИОНАЛ-5» удовлетворен частично: в его пользу взыскано 392 000 рублей долга по договору об оказании охранных услуг, в остальной части иска отказано. Суд посчитал, что заявленная к взысканию сумма долга необоснованна и не соответствует реальной стоимости фактически предоставленных истцом услуг. В передаче надзорной жалобы для рассмотрения дела в суде надзорной инстанции отказано.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4 статьи 421, пункты 1 и 3 статьи 424, пункт 1 статьи 779 и пункт 1 статьи 781 ГК Российской Федерации, устанавливающие свободу сторон в определении условий договора, цену договора, понятие договора возмездного оказания услуг и обязанность оплаты оказанных услуг, направлены на обеспечение свободы договора и баланса интересов его сторон, а потому сами по себе не могут рассматриваться как нарушающие конституционные права заявителя. Вопрос о соответствии Конституции Российской Федерации положений процессуального законодательства, предусматривающих полномочия суда надзорной инстанции по изменению или отмене вступивших в законную силу судебных постановлений, уже был предметом изучения Конституционного Суда Российской Федерации, который в Определении от 4 июня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Частное охранное предприятие «Агентство Безопасности ПРОФЕССИОНАЛ-5»,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