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Руденко Виталия Владимировича на нарушение его конституционных прав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В.В.Руденко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общей юрисдикции было отказано в удовлетворении жалобы гражданина В.В.Руденко о признании незаконными действий следователя, в чьем производстве находилось его уголовное дело, связанных с назначением ему второго защитника – адвоката В., и действий по ознакомлению с постановлениями о назначении судебных экспертиз другого защитника – адвоката М., от которого В.В.Руденко после ознакомления отказался. 2 Постановлением суда апелляционной инстанции постановление суда первой инстанции отменено, а производство по жалобе прекращено ввиду отсутствия предмета для судебного обжалования, поскольку на момент апелляционного рассмотрения происходило предусмотренное статьей 217 УПК Российской Федерации ознакомление обвиняемого и его защитника с материалами уголовного дела, в ходе которого они могли реализовать свое право и на ознакомление с постановлениями о назначении судебных экспертиз.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гражданам право на обжалование в районный суд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первая), и регулирует порядок рассмотрения таких жалоб (части вторая – седьмая). Положения уголовно-процессуального закона, регулирующие институт обжалования на досудебной стадии судопроизводства его участниками и иными заинтересованными лицами решений и действий (бездействия) 3 органов предварительного расследования в суд, уже были предметом рассмотрения Конституционного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Руденко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