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189922-П/2015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Юдина Сергея Владимировича на нарушение его конституционных прав статьей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С.В.Юдина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Прямо не предоставляя осужденному право на пересмотр вынесенного в отношении него приговора после его вступления в законную силу, статья 50 (часть 3) Конституции Российской Федерации не исключает, однако, возможность создания – исходя из конституционных целей и ценностей, общепризнанных принципов и норм международного права и международных обязательств Российской Федерации – дополнительных процессуальных механизмов проверки вступивших в законную силу судебных решений, определения системы и полномочий судебных инстанций, последовательности и процедуры обжалования, оснований для отмены судебных решений вышестоящей судебной инстанцией (постановления Конституционного Суда Российской Федерации от 26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Юдина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