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9163-П/2009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Букреева Владимира Викторовича на нарушение его конституционных прав рядом положений Уголовно-процессуального кодекса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В.В.Букреева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В.В.Букреевым материалы, не находит оснований для принятия его жалобы к рассмотрению. Согласно Конституции Российской Федерации каждому гарантируется судебная защита его прав и свобод (статья 46); никто не может быть лишен права на рассмотрение его дела в том суде и тем судьей, к подсудности которых оно отнесено законом (статья 47, часть 1). Применительно к уголовным делам таким законом является Уголовно-процессуальный кодекс Российской Федерации, статьями 31–35 которого установлены правила определения подсудности дел и основания ее изменения, а также предусмотрена соответствующая процедура. Как указал Конституционный Суд Российской Федерации в Постановлении от 16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Букреева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