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16545-П/2007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Мартыновой Галины Петровны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гражданки Г.П.Мартыновой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Г.П.Мартынова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Вопрос о конституционности оспариваемого заявительницей положения уже был предметом рассмотрения Конституционного Суда Российской Федерации, который в Определении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Мартыновой Галины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