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177633-П/2014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«Управляющая компания «Траст Лайт» на нарушение конституционных прав и свобод пунктом 3 статьи 66 Земельного кодекса Российской Федерации и статьями 2419 и 2420 Федерального закона «Об оценочной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ЗАО «Управляющая компания «Траст-Лайт»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были удовлетворены исковые требования организации, осуществлявшей доверительное управление закрытым паевым инвестиционным рентным фондом, в состав имущества которого входит земельный участок, связанные с определением кадастровой стоимости данного участка, равной его рыночной стоимости, в том числе требования об исключении из государственного кадастра недвижимости 2 записи о прежней кадастровой стоимости, установленной по результатам государственной кадастровой оценки земель, с момента ее внесения и об установлении с этого же момента кадастровой стоимости, равной рыночной стоимости. Постановлением суда апелляционной инстанции из резолютивной части этого решения было исключено указание на момент внесения сведений в государственный кадастр недвижимости. Как указал суд апелляционной инстанции, рыночная стоимость земельного участка, определенная на дату проведения государственной кадастровой оценки земель, подлежит внесению в государственный кадастр недвижимости в качестве кадастровой стоимости с момента вступления судебного акта в законную силу.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«Управляющая компания «Траст Лайт»,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5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