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189320-П/2015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«Дайнамик Брокер» на нарушение конституционных прав и свобод частью 3 статьи 16.2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ООО «Дайнамик Брокер» вопрос о возможности принятия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Кодексом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данным Кодексом установлена административная ответственность (часть 1 статьи 2.1); лицо подлежит административной ответственности только за те административные правонарушения, в отношении которых установлена его вина (часть 1 статьи 1.5). Вопрос о привлечении к ответственности участников таможенных правоотношений уже был предметом рассмотрения Конституционного Суда Российской Федерации. В Постановлении от 27 апреля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«Дайнамик Брокер»,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5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