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196463-П/2015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«Техснаб» на нарушение конституционных прав и свобод пунктом 109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ООО «Техснаб»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Гражданский кодекс Российской Федерации, регламентируя отношения по договору энергоснабжения в части количества поставляемой энергии, устанавливает, в частности, что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 договором энергоснабжения может быть предусмотрено право абонента изменять количество принимаемой им энергии, определенное договором, при 3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 (пункты 1 и 2 статьи 541). Статья 544 Кодекса предусматривает, что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порядок расчетов за энергию определяется законом, иными правовыми актами или соглашением сторон. Полагая, что оспариваемое положение пункта 109 Основных положений функционирования розничных рынков электрической энергии не соответствует расчету фактического потребления, лежащему в основе определения количества товара по договору энергоснабжения, заявитель по существу ставит перед Конституционным Судом Российской Федерации вопрос о проверке соответствия данного положения нормам Гражданского кодекса Российской Федерации. Между тем разрешение данного вопроса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Сама же по себе оспариваемая норма не может рассматриваться как нарушающая конституционные права и свободы заявителя по доводам, изложенным в жалобе. Кроме того,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«Техснаб»,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