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115205-П/2012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октября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Пронина Романа Анатольевича на нарушение его конституционных прав статьей 144, частью третьей статьи 195, статьей 198 и частью второй статьи 206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Р.А.Пронина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Положения статей 195, 198 и 206 УПК Российской Федерации регламентируют производство судебной экспертизы после возбуждения уголовного дела в стадии предварительного расследования, гарантируя в том числе права потерпевшего при назначении экспертизы, и не определяют порядок ознакомления с материалами предварительной проверки сообщений о преступлениях, предусмотренной статьей 144 данного Кодекса. В соответствии с частью первой статьи 144 УПК Российской Федерации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своей компетенции принять по нему решение; при проверке сообщения о преступлении дознаватель, орган дознания, следователь, руководитель следственного органа вправе требовать производства документальных проверок, ревизий, исследований документов, предметов, трупов и привлекать к участию в этих проверках, ревизиях, исследованиях специалистов. При этом, по смыслу части второй статьи 145 и части четвертой статьи 148 УПК Российской Федерации, лицо, по чьему заявлению о преступлении было вынесено постановление об отказе в возбуждении дела, вправе обжаловать данное решение и знакомиться с материалами, послужившими 3 основанием для его вынесения (определения Конституционного Суда Российской Федерации от 6 июля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Пронина Романа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