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144682-П/2013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Кулакова Алексея Вячеславовича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А.В.Кулакова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А.В.Кулаковым материалы, не находит оснований для принятия его жалобы к рассмотрению. Конституционный Суд Российской Федерации неоднократно указывал, что само по себе установление законодателем административной ответственности за невыполнение водителем требования о прохождении медицинского освидетельствования на состояние опьянения, будучи направленным на обеспечение безопасности дорожного движения, предупреждение правонарушений в области дорожного движения и охрану прав и свобод всех участников дорожного движения, не может рассматриваться как нарушение прав граждан (определения от 16 октября 3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Кулакова Алексея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