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Мазуриной Светланы Васильевны на нарушение ее конституционных прав частью третьей статьи 377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С.В.Мазуриной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С.В.Мазуриной материалы, не находит оснований для принятия ее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Мазуриной Светланы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