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185382-П/2014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Добротворского Алексея Александровича на нарушение его конституционных прав статьей 19, частью одиннадцатой статьи 108, статьей 127, частью первой статьи 255, частью первой статьи 3891, частями первой и второй статьи 3892, частями первой и второй и пунктом 5 части третьей статьи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А.А.Добротворского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Верховного Суда Российской Федерации от 17 июля 2013 года отменено кассационное определение Судебной коллегии по уголовным делам Верховного Суда Российской Федерации от 22 октября 2007 года и на новое кассационное рассмотрение отправлено уголовное дело в отношении гражданина А.А.Добротворского; 2 этим же постановлением ему избрана мера пресечения в виде заключения под стражу. Жалобы А.А.Добротворского о пересмотре постановления Президиума Верховного Суда Российской Федерации отклонены (постановление судьи Верховного Суда Российской Федерации от 17 июня 2014 года об отказе в передаче надзорной жалобы для рассмотрения в судебном заседании Президиума Верховного Суда Российской Федерации, письмо заместителя Председателя Верховного Суда Российской Федерации от 5 августа 2014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Добротворского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