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«Лакто-Новгород» на нарушение конституционных прав и свобод положениями пункта 2, подпункта 2 пункта 5 и пункта 6 статьи 169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вопрос о возможности принятия жалобы ООО «Лакто- Новгород»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«Лакто-Новгород» материалы, не находит оснований для принятия его жалобы к рассмотрению. В соответствии со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«Лакто- Новгород»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