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16355-П/2007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апреля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закрытого акционерного общества «АР Картон» на нарушение конституционных прав и свобод отдельными положениями статей 29, 150 и 198 Арбитражного процессуального кодекса Российской Федерации и статьи 45 Таможенного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ЗАО «АР Картон» вопрос о возможности принятия данной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проверке конституционности норм о подведомственности дел арбитражным судам неоднократно рассматривался Конституционным Судом Российской Федерации (определения от 5 ноября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ЗАО «АР Картон»,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