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137989-П/2013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Новоховича Евгения Викторовича на нарушение его конституционных прав пунктом 181 статьи 397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Е.В.Новоховича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Е.В.Новохович приговором суда от 14 октября 2009 года осужден к лишению свободы на срок пять лет девять месяцев в исправительной колонии общего режима. Постановлением суда по месту отбывания наказания от 18 августа 2010 года он переведен для дальнейшего отбывания наказания в колонию-поселение. Постановлением суда по месту нахождения колонии-поселения от 30 ноября 2012 года, с которым согласился суд кассационной инстанции, за два нарушения установленного 2 порядка отбывания наказания Е.В.Новохович вновь переведен в исправительную колонию общего режима; до вступления этого решения в законную силу постановлено содержать осужденного под стражей в следственном изоляторе.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Уголовно-исполнительному кодексу Российской Федерации вид исправительного учреждения может быть изменен осужденным к лишению свободы в зависимости от их поведения и отношения к труду (часть первая статьи 78); осужденные, являющиеся злостными нарушителями установленного порядка отбывания наказания, могут быть переведены из колонии-поселения в исправительную колонию, вид которой был ранее определен судом, и перемещаются из одного места отбывания наказания в другое под конвоем (часть первая статьи 76, пункт «а» части четвертой статьи 78). Нормами же пунктов 3 и 181 статьи 397 УПК Российской Федерации изменение вида исправительного учреждения, назначенного по приговору суда осужденному к лишению свободы, в соответствии со статьей 78 УИК Российской Федерации и заключение под стражу осужденного к лишению свободы, которому изменяется вид исправительного учреждения, 3 отнесены к вопросам, рассматриваемым судом на стадии исполнения приговора. Оспариваемое законоположение направлено на обеспечение исполнения назначенного приговором суда наказания в виде лишения свободы, а вытекающие из него неблагоприятные для лица последствия обусловлены его собственным поведением. Таким образом, пункт 181 статьи 397 УПК Российской Федерации неопределенности не содержит и права заявителя в указанном им аспекте не нарушает. Как следует из жалобы, свою позицию о нарушении его конституционных прав Е.В.Новохович аргументирует не доводами о дефектности оспариваемой им нормы, а изложением обстоятельств своего дела, т.е., по сути, предлагает Конституционному Суду Российской Федерации проверить не норму закона, а наличие оснований для ее применения в его конкретном деле, что не относится к полномочиям Конституционного Суда Российской Федерации, определенным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Новоховича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