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112265-П/2012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«Автолекс-Байкал» на нарушение конституционных прав и свобод частью 1 статьи 3.7 и положением части 3 статьи 16.2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«Автолекс- Байкал»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осуществляя в целях защиты государственного суверенитета и обеспечения экономической безопасности таможенное регулирование, устанавливает как правила перемещения через таможенную границу Российской Федерации товаров и иных предметов, их оформления и контроля ввоза и вывоза, соблюдая которые граждане и организации реализуют право перемещать товары через таможенную границу 3 Российской Федерации в соответствии с избранным таможенным режимом, так и ответственность за нарушение этих правил (статья 4; статья 71, пункты «ж», «о»; статья 72, пункт «к» части 1, Конституции Российской Федерации). Действуя в рамках предоставленных ему дискреционных полномочий, федеральный законодатель связан, однако, требованиями статьи 55 (часть 3) Конституции Российской Федерации, допускающими возможность ограничения прав и свобод человека и гражданина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Применительно к вопросу о допустимости назначения наказания в виде конфискации имущества, послужившего орудием или предметом таможенного правонарушения и не являющегося собственностью лица, его совершившего, Конституционный Суд Российской Федерации в Постановлении от 14 мая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«Автолекс-Байкал»,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