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112350-П/2012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Заворина Максима Владимировича на нарушение его конституционных прав статьями 16, 47, частями второй и пятой статьи 50, статьей 51, частями второй и шестой статьи 407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М.В.Заворина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Надзорная жалоба гражданина М.В.Заворина, осужденного за тайное хищение чужого имущества, совершенное с незаконным проникновением в жилище и причинившее значительный ущерб гражданину (часть третья статьи 158 «Кража» УК Российской Федерации), была удовлетворена президиумом Верховного Суда Республики Хакасия.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407 УПК Российской Федерации во взаимосвязи с частью первой статьи 402 того же Кодекса предполагает в случае возбуждения надзорного производства обязанность суда надзорной инстанции известить защитника о дате, времени и месте предстоящего заседания (часть первая); также она прямо предусматривает и возможность участия защитника в заседании суда надзорной инстанции и предоставление ему возможности ознакомиться с надзорными жалобой и (или) представлением, а также с постановлением о возбуждении надзорного производства (часть вторая). К тому же эта статья в единстве с положениями статей 16, 47, 49, 50, 51 и части шестой статьи 407 УПК Российской Федерации не исключает обязанность суда обеспечить гражданину в случае возбуждения надзорного производства право на участие в заседании суда надзорной инстанции выбранного им адвоката (по просьбе осужденного) либо назначить адвоката в установленном законом порядке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Заворина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