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193578-П/2015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Еременко Ларисы Николаевны на нарушение ее конституционных прав частью первой статьи 195, частью первой статьи 196 и частью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Л.Н.Еременко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первой статьи 195 и части первой статьи 196 ГПК Российской Федерации не предполагают возможность суда игнорировать обязательные для него в силу части второй статьи 61 данного Кодекса обстоятельства, установленные вступившим в законную силу судебным постановлением по ранее рассмотренному делу с участием тех же лиц, а потому не могут рассматриваться как нарушающие конституционные права заявительницы, перечисленные в жалобе. Положения части второй статьи 390 ГПК Российской Федерации, находясь в системной связи с другими положениями главы 41 данного Кодекса, регламентирующими производство в суде кассационной инстанции, предоставляют суду кассационной инстанции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дела, подменяя тем самым суды первой и второй инстанций, которые самостоятельно исследуют и оценивают доказательства, устанавливают фактические обстоятельства дела на основе принципов состязательности, равноправия сторон и непосредственности судебного разбирательства.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Еременко Ларисы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