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96561-П/2012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Ч. на нарушение ее конституционных прав положениями статьи 1069 и пунктом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Ч.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гражданкой Ч. материалы, не находит оснований для принятия ее жалобы к рассмотрению. Пункт 2 статьи 1070 ГК Российской Федерации, согласно которому вред, причиненный гражданину или юридическому лицу в результате незаконной деятельности органов дознания, предварительного следствия, прокуратуры, не повлекший последствий, предусмотренных пунктом 1 данной статьи, возмещается по основаниям и в порядке, которые предусмотрены статьей 1069 указанного Кодекса; вред, причиненный при осуществлении правосудия, возмещается в случае, если вина судьи установлена приговором суда, вступившим в законную силу, а также статья 1069 данного Кодекса, устанавливающая ответственность за вред, причиненный государственными органами, органами местного самоуправления, их должностными лицами, – с учетом конституционно- правового истолкования пункта 2 статьи 1070 ГК Российской Федерации, выраженного в сохраняющих свою силу решениях Конституционного Суда Российской Федерации (Постановление от 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